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987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36"/>
          <w:szCs w:val="36"/>
          <w:vertAlign w:val="superscript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475C301" wp14:editId="14C6DCAD">
            <wp:simplePos x="0" y="0"/>
            <wp:positionH relativeFrom="page">
              <wp:posOffset>2529840</wp:posOffset>
            </wp:positionH>
            <wp:positionV relativeFrom="page">
              <wp:posOffset>228600</wp:posOffset>
            </wp:positionV>
            <wp:extent cx="2306320" cy="1032510"/>
            <wp:effectExtent l="0" t="0" r="0" b="0"/>
            <wp:wrapTopAndBottom distT="0" dist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03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</w:t>
      </w:r>
      <w:r>
        <w:rPr>
          <w:b/>
          <w:color w:val="000000"/>
          <w:sz w:val="72"/>
          <w:szCs w:val="72"/>
        </w:rPr>
        <w:t xml:space="preserve">      </w:t>
      </w:r>
    </w:p>
    <w:p w14:paraId="3D9C65E5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Teacher Vacancy </w:t>
      </w:r>
      <w:r>
        <w:rPr>
          <w:rFonts w:ascii="Calibri" w:eastAsia="Calibri" w:hAnsi="Calibri" w:cs="Calibri"/>
          <w:b/>
          <w:sz w:val="28"/>
          <w:szCs w:val="28"/>
        </w:rPr>
        <w:t>Chaffinch Brook</w:t>
      </w:r>
    </w:p>
    <w:p w14:paraId="33FDCE2B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ADB288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JOB DESCRIPTION</w:t>
      </w:r>
    </w:p>
    <w:p w14:paraId="34ADB162" w14:textId="677A0A8A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7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Post: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SEN Class Teacher</w:t>
      </w:r>
      <w:r w:rsidR="008A4E9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30E085F7" w14:textId="688A7EAA" w:rsidR="0049378E" w:rsidRPr="00110F05" w:rsidRDefault="00000000" w:rsidP="00110F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 w:right="39" w:hanging="9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Salary: </w:t>
      </w:r>
      <w:r w:rsidR="00110F05" w:rsidRPr="00110F05">
        <w:rPr>
          <w:rFonts w:ascii="Century Gothic" w:eastAsia="Century Gothic" w:hAnsi="Century Gothic" w:cs="Century Gothic"/>
          <w:bCs/>
          <w:color w:val="000000"/>
          <w:sz w:val="20"/>
          <w:szCs w:val="20"/>
        </w:rPr>
        <w:t>Unqualified Teachers Pay Scale</w:t>
      </w:r>
      <w:r w:rsidR="00110F05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/</w:t>
      </w:r>
      <w:r w:rsidRPr="008A4E9C">
        <w:rPr>
          <w:rFonts w:ascii="Century Gothic" w:eastAsia="Century Gothic" w:hAnsi="Century Gothic" w:cs="Century Gothic"/>
          <w:bCs/>
          <w:color w:val="000000"/>
          <w:sz w:val="20"/>
          <w:szCs w:val="20"/>
        </w:rPr>
        <w:t xml:space="preserve">Teachers’ Main Pay Scale/Upper Pay Scale </w:t>
      </w:r>
      <w:r w:rsidRPr="008A4E9C">
        <w:rPr>
          <w:rFonts w:ascii="Century Gothic" w:eastAsia="Century Gothic" w:hAnsi="Century Gothic" w:cs="Century Gothic"/>
          <w:bCs/>
          <w:sz w:val="20"/>
          <w:szCs w:val="20"/>
        </w:rPr>
        <w:t>Negotiable dependent on experience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(Outer London)</w:t>
      </w:r>
    </w:p>
    <w:p w14:paraId="30802EB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 w:right="39" w:hanging="9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Responsible To: 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Head Teacher</w:t>
      </w:r>
    </w:p>
    <w:p w14:paraId="408D287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 w:right="39" w:hanging="9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Responsible for: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Teaching Assistants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</w:t>
      </w:r>
    </w:p>
    <w:p w14:paraId="0255BB4B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 w:right="39" w:hanging="9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DFED4DC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Role Purpose: </w:t>
      </w:r>
    </w:p>
    <w:p w14:paraId="2438C0A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" w:right="2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To carry out the duties of an SEN class teacher as set out in the Department for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Education  Teachers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’ Standards. </w:t>
      </w:r>
    </w:p>
    <w:p w14:paraId="3042E6FC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2" w:lineRule="auto"/>
        <w:ind w:left="18" w:right="221" w:hanging="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Carry out such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particular duties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that form part of the STPC Document as the Head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Teacher  may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reasonability direct from time to time.  </w:t>
      </w:r>
    </w:p>
    <w:p w14:paraId="11A42D1D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includes:  </w:t>
      </w:r>
    </w:p>
    <w:p w14:paraId="626363A9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5" w:lineRule="auto"/>
        <w:ind w:left="738" w:right="775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Liaising with the lead professional in their allocated subject area or key stage,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maintaining  professional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knowledge and understanding of current initiatives </w:t>
      </w:r>
    </w:p>
    <w:p w14:paraId="19F3381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2" w:lineRule="auto"/>
        <w:ind w:left="731" w:right="513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Regularly attending training locally and nationally as appropriate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demonstrating  excellent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classroom practice which acts as an exemplar for others </w:t>
      </w:r>
    </w:p>
    <w:p w14:paraId="22BBA13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5" w:lineRule="auto"/>
        <w:ind w:left="738" w:right="428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Contributing to the development of 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their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subject or key stage across the school (including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 preparing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monitoring the development plan) </w:t>
      </w:r>
    </w:p>
    <w:p w14:paraId="1323E90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</w:t>
      </w:r>
      <w:r>
        <w:rPr>
          <w:rFonts w:ascii="Century Gothic" w:eastAsia="Century Gothic" w:hAnsi="Century Gothic" w:cs="Century Gothic"/>
          <w:sz w:val="20"/>
          <w:szCs w:val="20"/>
        </w:rPr>
        <w:t>Coordinating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resources across the school </w:t>
      </w:r>
    </w:p>
    <w:p w14:paraId="63AED68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2" w:lineRule="auto"/>
        <w:ind w:left="731" w:right="719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Ensuring that all pupils are adequately prepared for external assessments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and  examinations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4567F87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5" w:lineRule="auto"/>
        <w:ind w:left="738" w:right="469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Contributing to the annual reports to Governors on standards of attainment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and  results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40B3D2C2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4" w:lineRule="auto"/>
        <w:ind w:left="730" w:right="-8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Duties and responsibilities of the post may change over time as requirements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and  circumstances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change. The person in the post may also be required to carry out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such  other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duties as may be necessary from time to time.  </w:t>
      </w:r>
    </w:p>
    <w:p w14:paraId="4DA93B09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2" w:lineRule="auto"/>
        <w:ind w:left="2" w:right="16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job description is to be performed in accordance with the provisions of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  Teachers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’ Pay and Conditions Document and within the range of teachers’ duties set out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  that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document as relevant to the post holders’ title and salary point. The post is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otherwise  subject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the conditions of service for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 teachers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 England and Wales and to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locally  agreed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conditions of employment to the extent that they are incorporated in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post  holders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’ individual contract of employment, copies of which are available on request. </w:t>
      </w:r>
    </w:p>
    <w:p w14:paraId="704AAAF3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2" w:lineRule="auto"/>
        <w:ind w:left="2" w:right="168"/>
        <w:rPr>
          <w:rFonts w:ascii="Century Gothic" w:eastAsia="Century Gothic" w:hAnsi="Century Gothic" w:cs="Century Gothic"/>
          <w:sz w:val="20"/>
          <w:szCs w:val="20"/>
        </w:rPr>
      </w:pPr>
    </w:p>
    <w:p w14:paraId="7B8D0E9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" w:right="409" w:hanging="9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To take responsibility for the education and welfare of a designated class of children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  accordance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with the current School Teachers’ Pay and Conditions document, having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due  regard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the requirements of the National Curriculum and school policies. </w:t>
      </w:r>
    </w:p>
    <w:p w14:paraId="6D754FF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2" w:lineRule="auto"/>
        <w:ind w:left="18" w:right="79" w:hanging="16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To teach pupils within the whole school and to carry out such other associated duties as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are  reasonably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assigned by the Head of School /Executive Head Teacher. </w:t>
      </w:r>
    </w:p>
    <w:p w14:paraId="48893E26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9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Commitment to Diversity: </w:t>
      </w:r>
    </w:p>
    <w:p w14:paraId="5422110B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2" w:lineRule="auto"/>
        <w:ind w:left="4" w:right="5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As a member of the School Team to take individual and collective professional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responsibility  for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championing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School’s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diversity agenda and proactively implementing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initiatives  which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secure equality of access and outcomes. Also to commit to continually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developing  personal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understanding of diversity. </w:t>
      </w:r>
    </w:p>
    <w:p w14:paraId="39F4B9A6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Key External Contacts: </w:t>
      </w:r>
    </w:p>
    <w:p w14:paraId="7C82E94C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Parents/carers </w:t>
      </w:r>
    </w:p>
    <w:p w14:paraId="453CFA3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Medical, therapy and other multi-agency services </w:t>
      </w:r>
    </w:p>
    <w:p w14:paraId="4F575E7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Educational advisers / consultants within Croydon and other boroughs </w:t>
      </w:r>
    </w:p>
    <w:p w14:paraId="65CF5F8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Key Internal Contacts: </w:t>
      </w:r>
    </w:p>
    <w:p w14:paraId="5F8FD01F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Class teachers, </w:t>
      </w:r>
    </w:p>
    <w:p w14:paraId="2B30238F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7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Teaching assistant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</w:p>
    <w:p w14:paraId="70D0E6CF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7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• Therapists including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SaLT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+ OT</w:t>
      </w:r>
    </w:p>
    <w:p w14:paraId="1933867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School Leadership Team </w:t>
      </w:r>
    </w:p>
    <w:p w14:paraId="68B95E9C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Administration Team </w:t>
      </w:r>
    </w:p>
    <w:p w14:paraId="2A6F846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Board of Governors </w:t>
      </w:r>
    </w:p>
    <w:p w14:paraId="1337355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Financial Dimensions: </w:t>
      </w:r>
    </w:p>
    <w:p w14:paraId="48052C5B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487" w:lineRule="auto"/>
        <w:ind w:left="17" w:right="694" w:hanging="1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post holder will be responsible for maintaining the budget for their allocated area, subject 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class.</w:t>
      </w:r>
    </w:p>
    <w:p w14:paraId="0983874A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487" w:lineRule="auto"/>
        <w:ind w:left="17" w:right="694" w:hanging="14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Key Areas for Decision Making: </w:t>
      </w:r>
    </w:p>
    <w:p w14:paraId="15E9C866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2" w:lineRule="auto"/>
        <w:ind w:left="133" w:right="101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▪ When to share / report concerns regarding pupils physical or emotional needs including safeguarding</w:t>
      </w:r>
    </w:p>
    <w:p w14:paraId="44B9B27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2" w:lineRule="auto"/>
        <w:ind w:left="133" w:right="101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▪ Monitoring pupil progress and raising concerns regarding achievement </w:t>
      </w:r>
    </w:p>
    <w:p w14:paraId="23006F0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2" w:lineRule="auto"/>
        <w:ind w:left="133" w:right="101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▪ Management of staff  </w:t>
      </w:r>
    </w:p>
    <w:p w14:paraId="62B0135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3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▪ Problem solving for individual pupils </w:t>
      </w:r>
    </w:p>
    <w:p w14:paraId="17E1F7F9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▪ Effective support strategies for pupils and / or staff </w:t>
      </w:r>
    </w:p>
    <w:p w14:paraId="52F2D45D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▪ Analysing and summarising significant information to communicate to others</w:t>
      </w:r>
    </w:p>
    <w:p w14:paraId="48C9C382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3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</w:t>
      </w:r>
    </w:p>
    <w:p w14:paraId="7F5E364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Other Considerations: </w:t>
      </w:r>
    </w:p>
    <w:p w14:paraId="5C544842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2" w:lineRule="auto"/>
        <w:ind w:left="10" w:right="315" w:hanging="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Whilst there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are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some SEN supported pupils in mainstream schools, the environment in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 special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school is far more intense and continuously presents a variety of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challenging  situations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for staff at all levels. </w:t>
      </w:r>
    </w:p>
    <w:p w14:paraId="2864F48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post is subject to an enhanced DBS check and satisfactory health clearance </w:t>
      </w:r>
    </w:p>
    <w:p w14:paraId="4404BB40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2" w:right="31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This job description is to be performed in accordance with the provision of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  Teachers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Pay and Conditions Document and within the range of duties set out in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that  document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so far as relevant to the post holders title and salary grade. The post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is  otherwise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subject to the Conditions of Service for School Teachers in England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Wales  (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“Burgundy Book”) and to locally agreed conditions of employment to the extent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that  they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are incorporated in the post holder’s individual contract of employment. </w:t>
      </w:r>
    </w:p>
    <w:p w14:paraId="04905D8C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9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Core Duties: </w:t>
      </w:r>
    </w:p>
    <w:p w14:paraId="3161686D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2" w:lineRule="auto"/>
        <w:ind w:left="11" w:right="3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Carry out the core duties of a Teacher at The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Beckmead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Trust, including the co-ordination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of  a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primary class /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secondary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nurture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class and / or a curriculum subject area and the management of teaching assistants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0EFE9A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3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Additional Duties:  </w:t>
      </w:r>
    </w:p>
    <w:p w14:paraId="0EE36D29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7" w:line="242" w:lineRule="auto"/>
        <w:ind w:right="314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Use pupil data to </w:t>
      </w:r>
      <w:r>
        <w:rPr>
          <w:rFonts w:ascii="Century Gothic" w:eastAsia="Century Gothic" w:hAnsi="Century Gothic" w:cs="Century Gothic"/>
          <w:sz w:val="20"/>
          <w:szCs w:val="20"/>
        </w:rPr>
        <w:t>coordinate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strategies to improve attainment for individuals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and  year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groups </w:t>
      </w:r>
    </w:p>
    <w:p w14:paraId="45DF67EE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80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Use evaluation of curriculum developments to ensure all pupils are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accessing  relevant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engaging learning opportunities </w:t>
      </w:r>
    </w:p>
    <w:p w14:paraId="26A2F6FB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42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Liaising with staff from the schools’ multi-agency team as appropriate</w:t>
      </w:r>
    </w:p>
    <w:p w14:paraId="54E9D15A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42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Co-ordinate, review and develop the curriculum plans for a primary class/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secondary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nurture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class or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their  allocated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subject area across the school </w:t>
      </w:r>
    </w:p>
    <w:p w14:paraId="29113F31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8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Use data about pupil attainment across the curriculum to inform decisions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about  intervention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programmes for individual pupils within their primary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/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secondary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nurture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class or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allocated  subject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area </w:t>
      </w:r>
    </w:p>
    <w:p w14:paraId="15B1F7F2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Co-ordinate the moderation of assessments for 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their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class group or allocated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subject  area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across the school in consultation with the Head of site/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Head  Teacher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/ Deputy Head Teacher</w:t>
      </w:r>
    </w:p>
    <w:p w14:paraId="6781BAC8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67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Prepare and monitor a development plan for their allocated subject area across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 school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 </w:t>
      </w:r>
    </w:p>
    <w:p w14:paraId="76E76983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577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Complying with and assisting with the development of policies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procedures  relating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child protection, health, safety and security, confidentiality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data  protection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reporting concerns to an appropriate person.  </w:t>
      </w:r>
    </w:p>
    <w:p w14:paraId="26C7C525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-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Establishing constructive relationships and communicating with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other  agencies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/professionals, to support achievement and progress of pupils </w:t>
      </w:r>
    </w:p>
    <w:p w14:paraId="58E2EE56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-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Delivering out of school learning activities within guidelines established by the school </w:t>
      </w:r>
    </w:p>
    <w:p w14:paraId="14DE478A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Contributing to the identification and execution of appropriate out of school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learning  activities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which consolidate and extend work carried out in class </w:t>
      </w:r>
    </w:p>
    <w:p w14:paraId="2E6B3AFF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29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Contribute to the whole school development plan, taking responsibility for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agreed  areas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62C31583" w14:textId="77777777" w:rsidR="004937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Manage the budget for their curriculum area / classroom </w:t>
      </w:r>
    </w:p>
    <w:p w14:paraId="711D2A5D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9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Confidentiality: </w:t>
      </w:r>
    </w:p>
    <w:p w14:paraId="06EF2195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4" w:lineRule="auto"/>
        <w:ind w:left="11" w:right="29" w:hanging="6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 expectation to treat all information acquired through your employment, both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formally  and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informally, in strict confidence. There are strict rules and protocols defining employees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’  access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and use of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School’s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databases. Any breach of these rules and protocols will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be  regarded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as subject to disciplinary investigation. There are internal procedures in place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for  employees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to raise matters of concern regarding such issues as bad practice or mismanagement. </w:t>
      </w:r>
    </w:p>
    <w:p w14:paraId="1EE804E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Equalities </w:t>
      </w:r>
    </w:p>
    <w:p w14:paraId="4610FF7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2" w:lineRule="auto"/>
        <w:ind w:left="2" w:right="236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has a strong commitment to achieving equality of opportunity in its services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  the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community and in the employment of people. It expects all employees to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understand,  comply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with and to promote its policies in their own work, to undertake any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appropriate  training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to challenge racism, prejudice and discrimination. </w:t>
      </w:r>
    </w:p>
    <w:p w14:paraId="1525412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Health and Safety </w:t>
      </w:r>
    </w:p>
    <w:p w14:paraId="5140AB70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2" w:lineRule="auto"/>
        <w:ind w:left="10" w:right="290" w:firstLine="1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Every employee is responsible for their own Health &amp; Safety, as well as that of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colleagues,  service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users and the public. Employees should co- operate with management,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follow  established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systems of work, use protective equipment where necessary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report  defectives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hazards to management. </w:t>
      </w:r>
    </w:p>
    <w:p w14:paraId="38FDCBB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To contribute as an effective and collaborative member of the School Team </w:t>
      </w:r>
    </w:p>
    <w:p w14:paraId="7B7D1820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Participating in training to be able to demonstrate competence. </w:t>
      </w:r>
    </w:p>
    <w:p w14:paraId="09136C01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Participating in first aid training </w:t>
      </w:r>
      <w:r>
        <w:rPr>
          <w:rFonts w:ascii="Century Gothic" w:eastAsia="Century Gothic" w:hAnsi="Century Gothic" w:cs="Century Gothic"/>
          <w:sz w:val="20"/>
          <w:szCs w:val="20"/>
        </w:rPr>
        <w:t>as required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</w:p>
    <w:p w14:paraId="492316E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5" w:lineRule="auto"/>
        <w:ind w:left="730" w:right="396" w:hanging="357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Participating in the ongoing development, implementation and monitoring of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 service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plans. </w:t>
      </w:r>
    </w:p>
    <w:p w14:paraId="6231E8F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53" w:lineRule="auto"/>
        <w:ind w:left="372" w:right="5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Participating in PRICE physical intervention training and </w:t>
      </w:r>
      <w:r>
        <w:rPr>
          <w:rFonts w:ascii="Century Gothic" w:eastAsia="Century Gothic" w:hAnsi="Century Gothic" w:cs="Century Gothic"/>
          <w:sz w:val="20"/>
          <w:szCs w:val="20"/>
        </w:rPr>
        <w:t>its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practical application. </w:t>
      </w:r>
    </w:p>
    <w:p w14:paraId="2FC3382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53" w:lineRule="auto"/>
        <w:ind w:left="372" w:right="5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Championing the professional integrity of the School Service </w:t>
      </w:r>
    </w:p>
    <w:p w14:paraId="6F4E03A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3" w:lineRule="auto"/>
        <w:ind w:left="372" w:right="414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Supporting Customer Focus, Best Value and electronic management of processes. </w:t>
      </w:r>
    </w:p>
    <w:p w14:paraId="1EEE6B65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3" w:lineRule="auto"/>
        <w:ind w:left="372" w:right="414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Actively sharing feedback on School policies and interventions</w:t>
      </w:r>
    </w:p>
    <w:p w14:paraId="3B9AB9D0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3" w:lineRule="auto"/>
        <w:ind w:left="372" w:right="414"/>
        <w:rPr>
          <w:rFonts w:ascii="Century Gothic" w:eastAsia="Century Gothic" w:hAnsi="Century Gothic" w:cs="Century Gothic"/>
          <w:sz w:val="20"/>
          <w:szCs w:val="20"/>
        </w:rPr>
      </w:pPr>
    </w:p>
    <w:p w14:paraId="39D73C47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3" w:lineRule="auto"/>
        <w:ind w:left="372" w:right="414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Data Protection </w:t>
      </w:r>
    </w:p>
    <w:p w14:paraId="11302FDC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2" w:lineRule="auto"/>
        <w:ind w:left="296" w:right="6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Awareness of the School’s responsibilities under the Data Protection Act 2018 for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 security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accuracy and relevance of personal </w:t>
      </w:r>
      <w:r>
        <w:rPr>
          <w:rFonts w:ascii="Century Gothic" w:eastAsia="Century Gothic" w:hAnsi="Century Gothic" w:cs="Century Gothic"/>
          <w:sz w:val="20"/>
          <w:szCs w:val="20"/>
        </w:rPr>
        <w:t>data held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on such systems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ensure  that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all administrative and financial processes comply with this and GDPR May 2018. </w:t>
      </w:r>
    </w:p>
    <w:p w14:paraId="00A8CA0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5" w:lineRule="auto"/>
        <w:ind w:left="661" w:right="470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• Maintaining client records and archive systems, in accordance with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departmental  procedure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policy and statutory requirements.</w:t>
      </w:r>
    </w:p>
    <w:p w14:paraId="665AACAE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 </w:t>
      </w:r>
    </w:p>
    <w:p w14:paraId="3F9F7604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637F3E7C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38CFC61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72BAED34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82AC72D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6C27B062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9A691CB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633EBB2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60E5C20F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6952B4B4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4EB55E1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34A4F35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4CDA67C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0788AD5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B72F888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4B52324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411FC96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13DE89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24CF1A7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CDF833E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5BA8C01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09A0232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F52E724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A7A4C03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0C2D35A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D32E961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5B9EBA3" w14:textId="77777777" w:rsidR="0049378E" w:rsidRDefault="00000000" w:rsidP="008A4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PERSON SPECIFICATION</w:t>
      </w:r>
    </w:p>
    <w:p w14:paraId="2891BA96" w14:textId="2964E55C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Post: SEN Class Teacher</w:t>
      </w:r>
    </w:p>
    <w:p w14:paraId="79AFD552" w14:textId="4B4A27B3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Salary: </w:t>
      </w:r>
      <w:r w:rsidR="0011718C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UQT Pay Scale/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Teachers’ Main Pay Scale/Upper Pay Scale + SEN Point (Outer London)</w:t>
      </w:r>
    </w:p>
    <w:p w14:paraId="699799E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Responsible To: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Head Teacher</w:t>
      </w:r>
    </w:p>
    <w:p w14:paraId="77F84181" w14:textId="1D2ECA05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7"/>
        <w:rPr>
          <w:rFonts w:ascii="Century Gothic" w:eastAsia="Century Gothic" w:hAnsi="Century Gothic" w:cs="Century Gothic"/>
          <w:color w:val="444444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Sites: </w:t>
      </w:r>
      <w:r>
        <w:rPr>
          <w:rFonts w:ascii="Century Gothic" w:eastAsia="Century Gothic" w:hAnsi="Century Gothic" w:cs="Century Gothic"/>
          <w:color w:val="444444"/>
          <w:sz w:val="20"/>
          <w:szCs w:val="20"/>
        </w:rPr>
        <w:t xml:space="preserve">Chaffinch Brook School (ASD and challenging behaviour) primary site Morland Road CR0 6NA, secondary site at Monks Orchard Road BR3 3BZ. </w:t>
      </w:r>
    </w:p>
    <w:p w14:paraId="09F5E51B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7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Responsible for: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Teaching Assistants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</w:t>
      </w:r>
    </w:p>
    <w:p w14:paraId="3962FE5F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Qualifications </w:t>
      </w:r>
    </w:p>
    <w:p w14:paraId="59704F04" w14:textId="77777777" w:rsidR="007F7124" w:rsidRDefault="001171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8" w:right="344" w:firstLine="1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DFE recognised Qualified Teacher Status</w:t>
      </w:r>
    </w:p>
    <w:p w14:paraId="25C559E1" w14:textId="2D34B0D3" w:rsidR="0049378E" w:rsidRDefault="0011718C" w:rsidP="007F71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right="344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Evidence of further professional study /training relating to the education of children with Special Education Needs </w:t>
      </w:r>
    </w:p>
    <w:p w14:paraId="1F15DEA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6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Knowledge </w:t>
      </w:r>
    </w:p>
    <w:p w14:paraId="250ADB26" w14:textId="77777777" w:rsidR="0049378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653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Knowledge of assessment and teaching strategies appropriate to children with Special Educational Needs. </w:t>
      </w:r>
    </w:p>
    <w:p w14:paraId="2C8602AB" w14:textId="3A0A7B69" w:rsidR="0049378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Knowledge of the current legislative framework within which teachers </w:t>
      </w:r>
      <w:r w:rsidR="0011718C">
        <w:rPr>
          <w:rFonts w:ascii="Century Gothic" w:eastAsia="Century Gothic" w:hAnsi="Century Gothic" w:cs="Century Gothic"/>
          <w:color w:val="000000"/>
          <w:sz w:val="20"/>
          <w:szCs w:val="20"/>
        </w:rPr>
        <w:t>operate, including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the SEN Code of Practice, Curriculum 2000 and the Literacy and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Numeracy  Strategies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</w:p>
    <w:p w14:paraId="2C212700" w14:textId="065139E8" w:rsidR="0049378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Knowledge and understanding of Primary/secondary curriculum. </w:t>
      </w:r>
    </w:p>
    <w:p w14:paraId="0EE1EC6A" w14:textId="5DFBA19B" w:rsidR="0049378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5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Knowledge and understanding of A</w:t>
      </w:r>
      <w:r>
        <w:rPr>
          <w:rFonts w:ascii="Century Gothic" w:eastAsia="Century Gothic" w:hAnsi="Century Gothic" w:cs="Century Gothic"/>
          <w:sz w:val="20"/>
          <w:szCs w:val="20"/>
        </w:rPr>
        <w:t>utism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including </w:t>
      </w:r>
      <w:r>
        <w:rPr>
          <w:rFonts w:ascii="Century Gothic" w:eastAsia="Century Gothic" w:hAnsi="Century Gothic" w:cs="Century Gothic"/>
          <w:sz w:val="20"/>
          <w:szCs w:val="20"/>
        </w:rPr>
        <w:t>how difficulties with social interaction,</w:t>
      </w:r>
      <w:r w:rsidR="0011718C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social communication and sensory impact on the capacity for children to learn.</w:t>
      </w:r>
    </w:p>
    <w:p w14:paraId="0C3767F1" w14:textId="77777777" w:rsidR="0049378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5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Knowledge of best practice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interventions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for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children with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utism.</w:t>
      </w:r>
    </w:p>
    <w:p w14:paraId="449B3C54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605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126629B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3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Aptitude </w:t>
      </w:r>
    </w:p>
    <w:p w14:paraId="745A80EE" w14:textId="77777777" w:rsidR="0049378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532"/>
        <w:rPr>
          <w:rFonts w:ascii="Century Gothic" w:eastAsia="Century Gothic" w:hAnsi="Century Gothic" w:cs="Century Gothic"/>
          <w:color w:val="000000"/>
          <w:sz w:val="20"/>
          <w:szCs w:val="20"/>
        </w:rPr>
        <w:sectPr w:rsidR="0049378E" w:rsidSect="00C35B01">
          <w:pgSz w:w="11900" w:h="16820"/>
          <w:pgMar w:top="720" w:right="1389" w:bottom="1824" w:left="1440" w:header="0" w:footer="720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The ability to relate to and empathise with children who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have autism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and  </w:t>
      </w:r>
      <w:r>
        <w:rPr>
          <w:rFonts w:ascii="Century Gothic" w:eastAsia="Century Gothic" w:hAnsi="Century Gothic" w:cs="Century Gothic"/>
          <w:sz w:val="20"/>
          <w:szCs w:val="20"/>
        </w:rPr>
        <w:t>challenging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behaviour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p w14:paraId="4F11208C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5F1A7EE3" w14:textId="77777777" w:rsidR="0049378E" w:rsidRDefault="00493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1682B71D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Skills </w:t>
      </w:r>
    </w:p>
    <w:p w14:paraId="2FB7958C" w14:textId="77777777" w:rsidR="0049378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right="53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Effective group management skills of children with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autism and challenging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behaviour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30F0F6AC" w14:textId="77777777" w:rsidR="0049378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Ability to plan and teach to meet the individual needs of the children. </w:t>
      </w:r>
    </w:p>
    <w:p w14:paraId="27340405" w14:textId="77777777" w:rsidR="0049378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 ability to empathise with the children and to provide a structure that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facilitates  emotional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social and behavioural development. </w:t>
      </w:r>
    </w:p>
    <w:p w14:paraId="118AFE00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Personal Qualities </w:t>
      </w:r>
    </w:p>
    <w:p w14:paraId="1C3EF2BC" w14:textId="77777777" w:rsidR="0049378E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55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Sensitivity to and concern for the needs of children and their families. </w:t>
      </w:r>
    </w:p>
    <w:p w14:paraId="35F2DAA2" w14:textId="77777777" w:rsidR="0049378E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Ability to establish and sustain good relationships with both children and adults. </w:t>
      </w:r>
    </w:p>
    <w:p w14:paraId="40BA4581" w14:textId="77777777" w:rsidR="0049378E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Commitment to work as a supportive member of a team within LA guidelines. </w:t>
      </w:r>
    </w:p>
    <w:p w14:paraId="450938BC" w14:textId="77777777" w:rsidR="0049378E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Capacity to take responsibility and work relatively independently in relation to his</w:t>
      </w:r>
    </w:p>
    <w:p w14:paraId="0DD25A1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9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her class.</w:t>
      </w:r>
    </w:p>
    <w:p w14:paraId="59D6FD5E" w14:textId="77777777" w:rsidR="0049378E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Insight into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emotional,  social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and behavioural development of the children who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attend a special school </w:t>
      </w:r>
    </w:p>
    <w:p w14:paraId="27C2F743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7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Special conditions: </w:t>
      </w:r>
    </w:p>
    <w:p w14:paraId="7D947F55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Enhanced DBS check</w:t>
      </w:r>
    </w:p>
    <w:p w14:paraId="44E5D059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7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Satisfactory health clearance</w:t>
      </w:r>
    </w:p>
    <w:p w14:paraId="3F76B289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2" w:lineRule="auto"/>
        <w:ind w:left="730" w:right="41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Above average exposure to pupils with traumatic, degenerative, terminal conditions,</w:t>
      </w:r>
    </w:p>
    <w:p w14:paraId="47AC0132" w14:textId="1BB22B2B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2" w:lineRule="auto"/>
        <w:ind w:left="730" w:right="41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or who have difficult and demanding behavioural problems, will require </w:t>
      </w:r>
      <w:r w:rsidR="0011718C">
        <w:rPr>
          <w:rFonts w:ascii="Century Gothic" w:eastAsia="Century Gothic" w:hAnsi="Century Gothic" w:cs="Century Gothic"/>
          <w:color w:val="000000"/>
          <w:sz w:val="20"/>
          <w:szCs w:val="20"/>
        </w:rPr>
        <w:t>the postholder</w:t>
      </w:r>
    </w:p>
    <w:p w14:paraId="2CB6A352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2" w:lineRule="auto"/>
        <w:ind w:left="730" w:right="41" w:hanging="358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 cope with above average levels of emotional stress.</w:t>
      </w:r>
    </w:p>
    <w:p w14:paraId="595B4543" w14:textId="71DB752E" w:rsidR="0011718C" w:rsidRPr="0011718C" w:rsidRDefault="00000000" w:rsidP="001171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56" w:lineRule="auto"/>
        <w:ind w:left="372" w:right="1506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Close contact with pupils may result in some exposure to bodily fluids</w:t>
      </w:r>
      <w:r w:rsidR="0011718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  <w:r w:rsidR="0011718C" w:rsidRPr="0011718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May be required to support some pupils with personal care. </w:t>
      </w:r>
    </w:p>
    <w:p w14:paraId="75A4578E" w14:textId="4B9B483F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56" w:lineRule="auto"/>
        <w:ind w:left="372" w:right="1506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•May require Hepatitis B vaccination.</w:t>
      </w:r>
    </w:p>
    <w:p w14:paraId="3CBFC977" w14:textId="431BD2FE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38" w:right="46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Particularly in schools that have pupils with behavioural difficulties, postholder can be</w:t>
      </w:r>
    </w:p>
    <w:p w14:paraId="24A09CD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38" w:right="46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at risk of physical injury and needs to remain vigilant and observe risk assessment</w:t>
      </w:r>
    </w:p>
    <w:p w14:paraId="40ADD04D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38" w:right="46" w:hanging="365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protocols.</w:t>
      </w:r>
    </w:p>
    <w:p w14:paraId="671CFEE6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2" w:lineRule="auto"/>
        <w:ind w:left="724" w:right="788" w:hanging="35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• Members of staff must take part in the behavioural and physical intervention</w:t>
      </w:r>
    </w:p>
    <w:p w14:paraId="5E6BB118" w14:textId="77777777" w:rsidR="004937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2" w:lineRule="auto"/>
        <w:ind w:left="724" w:right="788" w:hanging="35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training that it is offered by the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School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sectPr w:rsidR="0049378E">
      <w:type w:val="continuous"/>
      <w:pgSz w:w="11900" w:h="16820"/>
      <w:pgMar w:top="720" w:right="1389" w:bottom="1824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91F"/>
    <w:multiLevelType w:val="multilevel"/>
    <w:tmpl w:val="41EE9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0F5B06"/>
    <w:multiLevelType w:val="multilevel"/>
    <w:tmpl w:val="86E8D1FE"/>
    <w:lvl w:ilvl="0">
      <w:start w:val="1"/>
      <w:numFmt w:val="bullet"/>
      <w:lvlText w:val="●"/>
      <w:lvlJc w:val="left"/>
      <w:pPr>
        <w:ind w:left="10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504F81"/>
    <w:multiLevelType w:val="multilevel"/>
    <w:tmpl w:val="7EAAC71A"/>
    <w:lvl w:ilvl="0">
      <w:numFmt w:val="bullet"/>
      <w:lvlText w:val="•"/>
      <w:lvlJc w:val="left"/>
      <w:pPr>
        <w:ind w:left="7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1C72AC"/>
    <w:multiLevelType w:val="multilevel"/>
    <w:tmpl w:val="0F8CE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AB375E"/>
    <w:multiLevelType w:val="hybridMultilevel"/>
    <w:tmpl w:val="C5DE4842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374502621">
    <w:abstractNumId w:val="2"/>
  </w:num>
  <w:num w:numId="2" w16cid:durableId="1396589671">
    <w:abstractNumId w:val="0"/>
  </w:num>
  <w:num w:numId="3" w16cid:durableId="336202268">
    <w:abstractNumId w:val="1"/>
  </w:num>
  <w:num w:numId="4" w16cid:durableId="289241231">
    <w:abstractNumId w:val="3"/>
  </w:num>
  <w:num w:numId="5" w16cid:durableId="191033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8E"/>
    <w:rsid w:val="00110F05"/>
    <w:rsid w:val="0011718C"/>
    <w:rsid w:val="0049378E"/>
    <w:rsid w:val="007F7124"/>
    <w:rsid w:val="0085490C"/>
    <w:rsid w:val="008A4E9C"/>
    <w:rsid w:val="00C3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1AB8"/>
  <w15:docId w15:val="{321282C3-4C22-4E78-B583-847DDDA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19S3gcdeFS2HdyHldglblDsFA==">AMUW2mUOcIgOUiE0yBzDS+JjpyhM/GnfOVw8ZFRDgrJIo8KPI52BdtOk4L8sdRhJXBQA8Tv7/ATKsKezV4birhYerX5gR5uhUvZw+w7J/nIfpBV3DfyqvLAtFsm8jUCB5Y28oM5ZvYq5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Monfries, Dean</dc:creator>
  <cp:lastModifiedBy>Abbie Vernum</cp:lastModifiedBy>
  <cp:revision>3</cp:revision>
  <dcterms:created xsi:type="dcterms:W3CDTF">2024-02-29T07:37:00Z</dcterms:created>
  <dcterms:modified xsi:type="dcterms:W3CDTF">2025-06-16T09:42:00Z</dcterms:modified>
</cp:coreProperties>
</file>